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C40B" w14:textId="77777777" w:rsidR="00847174" w:rsidRDefault="00847174" w:rsidP="00847174">
      <w:pPr>
        <w:jc w:val="center"/>
        <w:rPr>
          <w:b/>
          <w:bCs/>
          <w:sz w:val="28"/>
          <w:szCs w:val="28"/>
        </w:rPr>
      </w:pPr>
      <w:r w:rsidRPr="00847174">
        <w:rPr>
          <w:b/>
          <w:bCs/>
          <w:sz w:val="28"/>
          <w:szCs w:val="28"/>
        </w:rPr>
        <w:t>Terms and Conditions – Elam Training Centre (Fatih, Istanbul)</w:t>
      </w:r>
    </w:p>
    <w:p w14:paraId="2994A5A1" w14:textId="77777777" w:rsidR="00847174" w:rsidRPr="00847174" w:rsidRDefault="00847174" w:rsidP="00847174">
      <w:pPr>
        <w:jc w:val="center"/>
        <w:rPr>
          <w:b/>
          <w:bCs/>
          <w:sz w:val="28"/>
          <w:szCs w:val="28"/>
        </w:rPr>
      </w:pPr>
    </w:p>
    <w:p w14:paraId="7C04BD18" w14:textId="06F05466" w:rsidR="00847174" w:rsidRPr="004100CB" w:rsidRDefault="00847174" w:rsidP="00847174">
      <w:pPr>
        <w:rPr>
          <w:b/>
          <w:bCs/>
        </w:rPr>
      </w:pPr>
      <w:r w:rsidRPr="004100CB">
        <w:rPr>
          <w:b/>
          <w:bCs/>
        </w:rPr>
        <w:t>1. Booking and Confirmation</w:t>
      </w:r>
    </w:p>
    <w:p w14:paraId="49116C2B" w14:textId="4B60C4C4" w:rsidR="00847174" w:rsidRDefault="00847174" w:rsidP="00847174">
      <w:r>
        <w:t>All booking requests must be submitted via the official booking form and are subject to availability. A booking is only confirmed once written confirmation has been issued by the Elam Istanbul booking team and the required deposit ha</w:t>
      </w:r>
      <w:r w:rsidR="004A711C">
        <w:t>s</w:t>
      </w:r>
      <w:r>
        <w:t xml:space="preserve"> been received.</w:t>
      </w:r>
    </w:p>
    <w:p w14:paraId="68DCA166" w14:textId="1EDD9A20" w:rsidR="000F2561" w:rsidRPr="000F2561" w:rsidRDefault="00847174" w:rsidP="000F2561">
      <w:pPr>
        <w:rPr>
          <w:b/>
          <w:bCs/>
        </w:rPr>
      </w:pPr>
      <w:r w:rsidRPr="004100CB">
        <w:rPr>
          <w:b/>
          <w:bCs/>
        </w:rPr>
        <w:t xml:space="preserve">2. </w:t>
      </w:r>
      <w:r w:rsidR="000F2561" w:rsidRPr="000F2561">
        <w:rPr>
          <w:b/>
          <w:bCs/>
        </w:rPr>
        <w:t>Invoices and Payments</w:t>
      </w:r>
    </w:p>
    <w:p w14:paraId="3AE90D23" w14:textId="73D24DEB" w:rsidR="00B22AEF" w:rsidRDefault="00B22AEF" w:rsidP="00172A83">
      <w:r w:rsidRPr="00B22AEF">
        <w:t xml:space="preserve">A deposit invoice will be issued once a reservation is confirmed in principle. The dates will be held for 7 days or until the deposit is paid. A 10% non-refundable deposit </w:t>
      </w:r>
      <w:r w:rsidR="005273C0">
        <w:t>shall be payable</w:t>
      </w:r>
      <w:r w:rsidRPr="00B22AEF">
        <w:t xml:space="preserve"> to secure the booking. A further 60% deposit </w:t>
      </w:r>
      <w:r w:rsidR="00774CC5">
        <w:t xml:space="preserve">shall be payable </w:t>
      </w:r>
      <w:r w:rsidRPr="00B22AEF">
        <w:t xml:space="preserve">7 days prior to the scheduled start date. The remaining balance, including any additional charges (such as meals, damages, or additional services), </w:t>
      </w:r>
      <w:r w:rsidR="00774CC5">
        <w:t xml:space="preserve">shall be payable </w:t>
      </w:r>
      <w:r w:rsidRPr="00B22AEF">
        <w:t>within 48 hours of the scheduled end date. Any costs incurred after this time will be invoiced separately and are payable within 5 days. Payment must be made in USD via wire transfer to Elam US. All bank charges are the responsibility of the payer.</w:t>
      </w:r>
    </w:p>
    <w:p w14:paraId="5D4F0B12" w14:textId="770CA37E" w:rsidR="00172A83" w:rsidRPr="00172A83" w:rsidRDefault="00847174" w:rsidP="00172A83">
      <w:pPr>
        <w:rPr>
          <w:b/>
          <w:bCs/>
        </w:rPr>
      </w:pPr>
      <w:r w:rsidRPr="004100CB">
        <w:rPr>
          <w:b/>
          <w:bCs/>
        </w:rPr>
        <w:t xml:space="preserve">3. </w:t>
      </w:r>
      <w:r w:rsidR="00172A83" w:rsidRPr="00172A83">
        <w:rPr>
          <w:b/>
          <w:bCs/>
        </w:rPr>
        <w:t>Cancellations</w:t>
      </w:r>
    </w:p>
    <w:p w14:paraId="46B91602" w14:textId="2BDA6497" w:rsidR="00822C22" w:rsidRDefault="00822C22" w:rsidP="00847174">
      <w:r w:rsidRPr="00822C22">
        <w:t xml:space="preserve">Elam will take reasonable steps to mitigate losses and may reduce cancellation fees where costs can be </w:t>
      </w:r>
      <w:proofErr w:type="gramStart"/>
      <w:r w:rsidRPr="00822C22">
        <w:t>recovered</w:t>
      </w:r>
      <w:proofErr w:type="gramEnd"/>
      <w:r w:rsidRPr="00822C22">
        <w:t xml:space="preserve"> or third-party contracts can be cancelled without charge. Cancellation requests must be submitted in writing to Amir.t@lookupwards.com. The following cancellation terms apply based on when written notice is received relative to the scheduled start date:</w:t>
      </w:r>
    </w:p>
    <w:tbl>
      <w:tblPr>
        <w:tblStyle w:val="TableGrid1"/>
        <w:tblW w:w="0" w:type="auto"/>
        <w:tblLook w:val="04A0" w:firstRow="1" w:lastRow="0" w:firstColumn="1" w:lastColumn="0" w:noHBand="0" w:noVBand="1"/>
      </w:tblPr>
      <w:tblGrid>
        <w:gridCol w:w="3256"/>
        <w:gridCol w:w="3402"/>
      </w:tblGrid>
      <w:tr w:rsidR="007818A5" w:rsidRPr="007818A5" w14:paraId="66530161" w14:textId="77777777">
        <w:tc>
          <w:tcPr>
            <w:tcW w:w="3256" w:type="dxa"/>
          </w:tcPr>
          <w:p w14:paraId="28AEF6F1" w14:textId="77777777" w:rsidR="007818A5" w:rsidRPr="007818A5" w:rsidRDefault="007818A5" w:rsidP="007818A5">
            <w:pPr>
              <w:spacing w:line="259" w:lineRule="auto"/>
              <w:rPr>
                <w:rFonts w:ascii="Aptos" w:eastAsia="Aptos" w:hAnsi="Aptos" w:cs="Times New Roman"/>
                <w:b/>
                <w:bCs/>
              </w:rPr>
            </w:pPr>
            <w:r w:rsidRPr="007818A5">
              <w:rPr>
                <w:rFonts w:ascii="Aptos" w:eastAsia="Aptos" w:hAnsi="Aptos" w:cs="Times New Roman"/>
                <w:b/>
                <w:bCs/>
              </w:rPr>
              <w:t xml:space="preserve">Number of hours/days before </w:t>
            </w:r>
          </w:p>
          <w:p w14:paraId="5B444701" w14:textId="77777777" w:rsidR="007818A5" w:rsidRPr="007818A5" w:rsidRDefault="007818A5" w:rsidP="007818A5">
            <w:pPr>
              <w:spacing w:line="259" w:lineRule="auto"/>
              <w:rPr>
                <w:rFonts w:ascii="Aptos" w:eastAsia="Aptos" w:hAnsi="Aptos" w:cs="Times New Roman"/>
                <w:b/>
                <w:bCs/>
              </w:rPr>
            </w:pPr>
            <w:r w:rsidRPr="007818A5">
              <w:rPr>
                <w:rFonts w:ascii="Aptos" w:eastAsia="Aptos" w:hAnsi="Aptos" w:cs="Times New Roman"/>
                <w:b/>
                <w:bCs/>
              </w:rPr>
              <w:t>scheduled start date</w:t>
            </w:r>
          </w:p>
        </w:tc>
        <w:tc>
          <w:tcPr>
            <w:tcW w:w="3402" w:type="dxa"/>
          </w:tcPr>
          <w:p w14:paraId="6564C7D4" w14:textId="77777777" w:rsidR="007818A5" w:rsidRPr="007818A5" w:rsidRDefault="007818A5" w:rsidP="007818A5">
            <w:pPr>
              <w:spacing w:line="259" w:lineRule="auto"/>
              <w:rPr>
                <w:rFonts w:ascii="Aptos" w:eastAsia="Aptos" w:hAnsi="Aptos" w:cs="Times New Roman"/>
                <w:b/>
                <w:bCs/>
              </w:rPr>
            </w:pPr>
            <w:r w:rsidRPr="007818A5">
              <w:rPr>
                <w:rFonts w:ascii="Aptos" w:eastAsia="Aptos" w:hAnsi="Aptos" w:cs="Times New Roman"/>
                <w:b/>
                <w:bCs/>
              </w:rPr>
              <w:t xml:space="preserve">       % of Projected Fee Payable</w:t>
            </w:r>
          </w:p>
        </w:tc>
      </w:tr>
      <w:tr w:rsidR="007818A5" w:rsidRPr="007818A5" w14:paraId="2B9A448C" w14:textId="77777777">
        <w:tc>
          <w:tcPr>
            <w:tcW w:w="3256" w:type="dxa"/>
          </w:tcPr>
          <w:p w14:paraId="1968DFA0" w14:textId="77777777" w:rsidR="007818A5" w:rsidRPr="007818A5" w:rsidRDefault="007818A5" w:rsidP="007818A5">
            <w:pPr>
              <w:spacing w:line="259" w:lineRule="auto"/>
              <w:rPr>
                <w:rFonts w:ascii="Aptos" w:eastAsia="Aptos" w:hAnsi="Aptos" w:cs="Times New Roman"/>
              </w:rPr>
            </w:pPr>
            <w:r w:rsidRPr="007818A5">
              <w:rPr>
                <w:rFonts w:ascii="Aptos" w:eastAsia="Aptos" w:hAnsi="Aptos" w:cs="Times New Roman"/>
              </w:rPr>
              <w:t>Within 24 hours</w:t>
            </w:r>
          </w:p>
        </w:tc>
        <w:tc>
          <w:tcPr>
            <w:tcW w:w="3402" w:type="dxa"/>
          </w:tcPr>
          <w:p w14:paraId="6757BA7D" w14:textId="77777777" w:rsidR="007818A5" w:rsidRPr="007818A5" w:rsidRDefault="007818A5" w:rsidP="007818A5">
            <w:pPr>
              <w:spacing w:line="259" w:lineRule="auto"/>
              <w:jc w:val="center"/>
              <w:rPr>
                <w:rFonts w:ascii="Aptos" w:eastAsia="Aptos" w:hAnsi="Aptos" w:cs="Times New Roman"/>
              </w:rPr>
            </w:pPr>
            <w:r w:rsidRPr="007818A5">
              <w:rPr>
                <w:rFonts w:ascii="Aptos" w:eastAsia="Aptos" w:hAnsi="Aptos" w:cs="Times New Roman"/>
              </w:rPr>
              <w:t>100%</w:t>
            </w:r>
          </w:p>
        </w:tc>
      </w:tr>
      <w:tr w:rsidR="007818A5" w:rsidRPr="007818A5" w14:paraId="02287F23" w14:textId="77777777">
        <w:tc>
          <w:tcPr>
            <w:tcW w:w="3256" w:type="dxa"/>
          </w:tcPr>
          <w:p w14:paraId="5844815B" w14:textId="77777777" w:rsidR="007818A5" w:rsidRPr="007818A5" w:rsidRDefault="007818A5" w:rsidP="007818A5">
            <w:pPr>
              <w:spacing w:line="259" w:lineRule="auto"/>
              <w:rPr>
                <w:rFonts w:ascii="Aptos" w:eastAsia="Aptos" w:hAnsi="Aptos" w:cs="Times New Roman"/>
              </w:rPr>
            </w:pPr>
            <w:r w:rsidRPr="007818A5">
              <w:rPr>
                <w:rFonts w:ascii="Aptos" w:eastAsia="Aptos" w:hAnsi="Aptos" w:cs="Times New Roman"/>
              </w:rPr>
              <w:t>24-48 hours</w:t>
            </w:r>
          </w:p>
        </w:tc>
        <w:tc>
          <w:tcPr>
            <w:tcW w:w="3402" w:type="dxa"/>
          </w:tcPr>
          <w:p w14:paraId="5723595F" w14:textId="77777777" w:rsidR="007818A5" w:rsidRPr="007818A5" w:rsidRDefault="007818A5" w:rsidP="007818A5">
            <w:pPr>
              <w:spacing w:line="259" w:lineRule="auto"/>
              <w:jc w:val="center"/>
              <w:rPr>
                <w:rFonts w:ascii="Aptos" w:eastAsia="Aptos" w:hAnsi="Aptos" w:cs="Times New Roman"/>
              </w:rPr>
            </w:pPr>
            <w:r w:rsidRPr="007818A5">
              <w:rPr>
                <w:rFonts w:ascii="Aptos" w:eastAsia="Aptos" w:hAnsi="Aptos" w:cs="Times New Roman"/>
              </w:rPr>
              <w:t>70%</w:t>
            </w:r>
          </w:p>
        </w:tc>
      </w:tr>
      <w:tr w:rsidR="007818A5" w:rsidRPr="007818A5" w14:paraId="0EB670E5" w14:textId="77777777">
        <w:tc>
          <w:tcPr>
            <w:tcW w:w="3256" w:type="dxa"/>
          </w:tcPr>
          <w:p w14:paraId="66A20B39" w14:textId="77777777" w:rsidR="007818A5" w:rsidRPr="007818A5" w:rsidRDefault="007818A5" w:rsidP="007818A5">
            <w:pPr>
              <w:spacing w:line="259" w:lineRule="auto"/>
              <w:rPr>
                <w:rFonts w:ascii="Aptos" w:eastAsia="Aptos" w:hAnsi="Aptos" w:cs="Times New Roman"/>
              </w:rPr>
            </w:pPr>
            <w:r w:rsidRPr="007818A5">
              <w:rPr>
                <w:rFonts w:ascii="Aptos" w:eastAsia="Aptos" w:hAnsi="Aptos" w:cs="Times New Roman"/>
              </w:rPr>
              <w:t>49–120 hours</w:t>
            </w:r>
          </w:p>
        </w:tc>
        <w:tc>
          <w:tcPr>
            <w:tcW w:w="3402" w:type="dxa"/>
          </w:tcPr>
          <w:p w14:paraId="71957BAC" w14:textId="77777777" w:rsidR="007818A5" w:rsidRPr="007818A5" w:rsidRDefault="007818A5" w:rsidP="007818A5">
            <w:pPr>
              <w:spacing w:line="259" w:lineRule="auto"/>
              <w:jc w:val="center"/>
              <w:rPr>
                <w:rFonts w:ascii="Aptos" w:eastAsia="Aptos" w:hAnsi="Aptos" w:cs="Times New Roman"/>
              </w:rPr>
            </w:pPr>
            <w:r w:rsidRPr="007818A5">
              <w:rPr>
                <w:rFonts w:ascii="Aptos" w:eastAsia="Aptos" w:hAnsi="Aptos" w:cs="Times New Roman"/>
              </w:rPr>
              <w:t>50%</w:t>
            </w:r>
          </w:p>
        </w:tc>
      </w:tr>
      <w:tr w:rsidR="007818A5" w:rsidRPr="007818A5" w14:paraId="06F164F4" w14:textId="77777777">
        <w:tc>
          <w:tcPr>
            <w:tcW w:w="3256" w:type="dxa"/>
          </w:tcPr>
          <w:p w14:paraId="0815BAF7" w14:textId="77777777" w:rsidR="007818A5" w:rsidRPr="007818A5" w:rsidRDefault="007818A5" w:rsidP="007818A5">
            <w:pPr>
              <w:spacing w:line="259" w:lineRule="auto"/>
              <w:rPr>
                <w:rFonts w:ascii="Aptos" w:eastAsia="Aptos" w:hAnsi="Aptos" w:cs="Times New Roman"/>
              </w:rPr>
            </w:pPr>
            <w:r w:rsidRPr="007818A5">
              <w:rPr>
                <w:rFonts w:ascii="Aptos" w:eastAsia="Aptos" w:hAnsi="Aptos" w:cs="Times New Roman"/>
              </w:rPr>
              <w:t>5-30 days</w:t>
            </w:r>
          </w:p>
        </w:tc>
        <w:tc>
          <w:tcPr>
            <w:tcW w:w="3402" w:type="dxa"/>
          </w:tcPr>
          <w:p w14:paraId="44B24AEE" w14:textId="77777777" w:rsidR="007818A5" w:rsidRPr="007818A5" w:rsidRDefault="007818A5" w:rsidP="007818A5">
            <w:pPr>
              <w:spacing w:line="259" w:lineRule="auto"/>
              <w:jc w:val="center"/>
              <w:rPr>
                <w:rFonts w:ascii="Aptos" w:eastAsia="Aptos" w:hAnsi="Aptos" w:cs="Times New Roman"/>
              </w:rPr>
            </w:pPr>
            <w:r w:rsidRPr="007818A5">
              <w:rPr>
                <w:rFonts w:ascii="Aptos" w:eastAsia="Aptos" w:hAnsi="Aptos" w:cs="Times New Roman"/>
              </w:rPr>
              <w:t>20%</w:t>
            </w:r>
          </w:p>
        </w:tc>
      </w:tr>
      <w:tr w:rsidR="007818A5" w:rsidRPr="007818A5" w14:paraId="42E9BF88" w14:textId="77777777">
        <w:tc>
          <w:tcPr>
            <w:tcW w:w="3256" w:type="dxa"/>
          </w:tcPr>
          <w:p w14:paraId="75BAABF8" w14:textId="77777777" w:rsidR="007818A5" w:rsidRPr="007818A5" w:rsidRDefault="007818A5" w:rsidP="007818A5">
            <w:pPr>
              <w:spacing w:line="259" w:lineRule="auto"/>
              <w:rPr>
                <w:rFonts w:ascii="Aptos" w:eastAsia="Aptos" w:hAnsi="Aptos" w:cs="Times New Roman"/>
              </w:rPr>
            </w:pPr>
            <w:r w:rsidRPr="007818A5">
              <w:rPr>
                <w:rFonts w:ascii="Aptos" w:eastAsia="Aptos" w:hAnsi="Aptos" w:cs="Times New Roman"/>
              </w:rPr>
              <w:t>31 days or more</w:t>
            </w:r>
          </w:p>
        </w:tc>
        <w:tc>
          <w:tcPr>
            <w:tcW w:w="3402" w:type="dxa"/>
          </w:tcPr>
          <w:p w14:paraId="1564464D" w14:textId="77777777" w:rsidR="007818A5" w:rsidRPr="007818A5" w:rsidRDefault="007818A5" w:rsidP="007818A5">
            <w:pPr>
              <w:spacing w:line="259" w:lineRule="auto"/>
              <w:jc w:val="center"/>
              <w:rPr>
                <w:rFonts w:ascii="Aptos" w:eastAsia="Aptos" w:hAnsi="Aptos" w:cs="Times New Roman"/>
              </w:rPr>
            </w:pPr>
            <w:r w:rsidRPr="007818A5">
              <w:rPr>
                <w:rFonts w:ascii="Aptos" w:eastAsia="Aptos" w:hAnsi="Aptos" w:cs="Times New Roman"/>
              </w:rPr>
              <w:t>10%</w:t>
            </w:r>
          </w:p>
        </w:tc>
      </w:tr>
    </w:tbl>
    <w:p w14:paraId="7F5CAC63" w14:textId="77777777" w:rsidR="00822C22" w:rsidRDefault="00822C22" w:rsidP="00847174"/>
    <w:p w14:paraId="70B9D1A0" w14:textId="5DC0C100" w:rsidR="00847174" w:rsidRPr="004100CB" w:rsidRDefault="00847174" w:rsidP="00847174">
      <w:pPr>
        <w:rPr>
          <w:b/>
          <w:bCs/>
        </w:rPr>
      </w:pPr>
      <w:r w:rsidRPr="004100CB">
        <w:rPr>
          <w:b/>
          <w:bCs/>
        </w:rPr>
        <w:t>4. Use of the Centre</w:t>
      </w:r>
    </w:p>
    <w:p w14:paraId="11B45746" w14:textId="05401E95" w:rsidR="00847174" w:rsidRDefault="00847174" w:rsidP="00847174">
      <w:r>
        <w:t>The Training Centre is provided for conferences, seminars, training programmes, retreats, and similar events. Guests are expected to use the facilities respectfully and in accordance with the stated purpose of their booking.</w:t>
      </w:r>
    </w:p>
    <w:p w14:paraId="5752F7AB" w14:textId="0EDB84C4" w:rsidR="00847174" w:rsidRPr="004100CB" w:rsidRDefault="00847174" w:rsidP="00847174">
      <w:pPr>
        <w:rPr>
          <w:b/>
          <w:bCs/>
        </w:rPr>
      </w:pPr>
      <w:r w:rsidRPr="004100CB">
        <w:rPr>
          <w:b/>
          <w:bCs/>
        </w:rPr>
        <w:t>5. Capacity and Rooms</w:t>
      </w:r>
    </w:p>
    <w:p w14:paraId="4907E2E0" w14:textId="66D18BB0" w:rsidR="00847174" w:rsidRDefault="00847174" w:rsidP="00847174">
      <w:r>
        <w:t>Accommodation is limited to the number of rooms and beds agreed at the time of booking. Any changes to guest numbers must be approved in advance by the booking team.</w:t>
      </w:r>
    </w:p>
    <w:p w14:paraId="23579DC1" w14:textId="17453C48" w:rsidR="00847174" w:rsidRPr="004100CB" w:rsidRDefault="00847174" w:rsidP="00847174">
      <w:pPr>
        <w:rPr>
          <w:b/>
          <w:bCs/>
        </w:rPr>
      </w:pPr>
      <w:r w:rsidRPr="004100CB">
        <w:rPr>
          <w:b/>
          <w:bCs/>
        </w:rPr>
        <w:t>6. Safeguarding and Responsibility</w:t>
      </w:r>
    </w:p>
    <w:p w14:paraId="3978500D" w14:textId="72A8ACA1" w:rsidR="00847174" w:rsidRDefault="00847174" w:rsidP="00847174">
      <w:r>
        <w:t xml:space="preserve">The event organiser is responsible for the supervision and welfare of all attendees, including children, young people, and vulnerable adults. Appropriate safeguarding measures must </w:t>
      </w:r>
      <w:proofErr w:type="gramStart"/>
      <w:r>
        <w:t>be in place at all times</w:t>
      </w:r>
      <w:proofErr w:type="gramEnd"/>
      <w:r>
        <w:t>.</w:t>
      </w:r>
    </w:p>
    <w:p w14:paraId="45FABED8" w14:textId="7F17B80C" w:rsidR="00847174" w:rsidRPr="004100CB" w:rsidRDefault="00847174" w:rsidP="00847174">
      <w:pPr>
        <w:rPr>
          <w:b/>
          <w:bCs/>
        </w:rPr>
      </w:pPr>
      <w:r w:rsidRPr="004100CB">
        <w:rPr>
          <w:b/>
          <w:bCs/>
        </w:rPr>
        <w:t>7. Event Coordination</w:t>
      </w:r>
    </w:p>
    <w:p w14:paraId="037F686D" w14:textId="2D6162F4" w:rsidR="00847174" w:rsidRDefault="008710BE" w:rsidP="00847174">
      <w:r w:rsidRPr="008710BE">
        <w:t>Unless otherwise agreed, event organisers are responsible for coordinating their own events. Additional on-site support from Elam may be requested in advance, is subject to availability, and may incur an additional charge depending on the level of assistance required.</w:t>
      </w:r>
    </w:p>
    <w:p w14:paraId="2B079479" w14:textId="590A617F" w:rsidR="00847174" w:rsidRPr="004100CB" w:rsidRDefault="00847174" w:rsidP="00847174">
      <w:pPr>
        <w:rPr>
          <w:b/>
          <w:bCs/>
        </w:rPr>
      </w:pPr>
      <w:r w:rsidRPr="004100CB">
        <w:rPr>
          <w:b/>
          <w:bCs/>
        </w:rPr>
        <w:t>8. Catering</w:t>
      </w:r>
    </w:p>
    <w:p w14:paraId="5881ADD6" w14:textId="2DF6C294" w:rsidR="00847174" w:rsidRDefault="00847174" w:rsidP="00847174">
      <w:r>
        <w:t>The Centre includes kitchen facilities; however, Elam does not provide catering services. External catering can be arranged upon request, subject to availability and additional costs.</w:t>
      </w:r>
    </w:p>
    <w:p w14:paraId="7558BD59" w14:textId="0F7BA8A0" w:rsidR="00847174" w:rsidRPr="004100CB" w:rsidRDefault="00847174" w:rsidP="00847174">
      <w:pPr>
        <w:rPr>
          <w:b/>
          <w:bCs/>
        </w:rPr>
      </w:pPr>
      <w:r w:rsidRPr="004100CB">
        <w:rPr>
          <w:b/>
          <w:bCs/>
        </w:rPr>
        <w:t>9. Conduct and Behaviour</w:t>
      </w:r>
    </w:p>
    <w:p w14:paraId="1579206A" w14:textId="77777777" w:rsidR="00856718" w:rsidRPr="00856718" w:rsidRDefault="00856718" w:rsidP="00856718">
      <w:pPr>
        <w:spacing w:before="100" w:beforeAutospacing="1" w:after="100" w:afterAutospacing="1" w:line="240" w:lineRule="auto"/>
        <w:rPr>
          <w:rFonts w:eastAsia="Times New Roman" w:cs="Times New Roman"/>
          <w:kern w:val="0"/>
          <w:lang w:eastAsia="en-GB"/>
          <w14:ligatures w14:val="none"/>
        </w:rPr>
      </w:pPr>
      <w:r w:rsidRPr="00856718">
        <w:rPr>
          <w:rFonts w:eastAsia="Times New Roman" w:cs="Times New Roman"/>
          <w:kern w:val="0"/>
          <w:lang w:eastAsia="en-GB"/>
          <w14:ligatures w14:val="none"/>
        </w:rPr>
        <w:t>All guests are expected to behave in a respectful and considerate manner. Elam reserves the right to refuse or terminate a booking if behaviour is deemed inappropriate or disruptive.</w:t>
      </w:r>
    </w:p>
    <w:p w14:paraId="62DD4D82" w14:textId="77777777" w:rsidR="00856718" w:rsidRPr="00856718" w:rsidRDefault="00856718" w:rsidP="00856718">
      <w:pPr>
        <w:spacing w:before="100" w:beforeAutospacing="1" w:after="100" w:afterAutospacing="1" w:line="240" w:lineRule="auto"/>
        <w:rPr>
          <w:rFonts w:eastAsia="Times New Roman" w:cs="Times New Roman"/>
          <w:kern w:val="0"/>
          <w:lang w:eastAsia="en-GB"/>
          <w14:ligatures w14:val="none"/>
        </w:rPr>
      </w:pPr>
      <w:r w:rsidRPr="00856718">
        <w:rPr>
          <w:rFonts w:eastAsia="Times New Roman" w:cs="Times New Roman"/>
          <w:kern w:val="0"/>
          <w:lang w:eastAsia="en-GB"/>
          <w14:ligatures w14:val="none"/>
        </w:rPr>
        <w:t>Guests must:</w:t>
      </w:r>
    </w:p>
    <w:p w14:paraId="5EF36D9C" w14:textId="77777777" w:rsidR="00856718" w:rsidRPr="00856718" w:rsidRDefault="00856718" w:rsidP="00856718">
      <w:pPr>
        <w:numPr>
          <w:ilvl w:val="0"/>
          <w:numId w:val="2"/>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 xml:space="preserve">Respect the residential nature of the building and neighbouring community </w:t>
      </w:r>
    </w:p>
    <w:p w14:paraId="3BC0DD67" w14:textId="77777777" w:rsidR="00856718" w:rsidRPr="00856718" w:rsidRDefault="00856718" w:rsidP="00856718">
      <w:pPr>
        <w:numPr>
          <w:ilvl w:val="0"/>
          <w:numId w:val="2"/>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 xml:space="preserve">Keep noise to a reasonable level, especially during evening and night hours </w:t>
      </w:r>
    </w:p>
    <w:p w14:paraId="70FA8930" w14:textId="77777777" w:rsidR="00856718" w:rsidRPr="00856718" w:rsidRDefault="00856718" w:rsidP="00856718">
      <w:pPr>
        <w:numPr>
          <w:ilvl w:val="0"/>
          <w:numId w:val="2"/>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 xml:space="preserve">Refrain from alcohol consumption, smoking, and illegal substances on the premises </w:t>
      </w:r>
    </w:p>
    <w:p w14:paraId="566DEF4C" w14:textId="77777777" w:rsidR="00856718" w:rsidRPr="00856718" w:rsidRDefault="00856718" w:rsidP="00856718">
      <w:pPr>
        <w:numPr>
          <w:ilvl w:val="0"/>
          <w:numId w:val="2"/>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 xml:space="preserve">Not move furniture, equipment, or facilities without prior approval </w:t>
      </w:r>
    </w:p>
    <w:p w14:paraId="52820FFF" w14:textId="77777777" w:rsidR="00856718" w:rsidRPr="00856718" w:rsidRDefault="00856718" w:rsidP="00856718">
      <w:pPr>
        <w:spacing w:before="100" w:beforeAutospacing="1" w:after="100" w:afterAutospacing="1" w:line="240" w:lineRule="auto"/>
        <w:rPr>
          <w:rFonts w:eastAsia="Times New Roman" w:cs="Times New Roman"/>
          <w:kern w:val="0"/>
          <w:lang w:eastAsia="en-GB"/>
          <w14:ligatures w14:val="none"/>
        </w:rPr>
      </w:pPr>
      <w:r w:rsidRPr="00856718">
        <w:rPr>
          <w:rFonts w:eastAsia="Times New Roman" w:cs="Times New Roman"/>
          <w:kern w:val="0"/>
          <w:lang w:eastAsia="en-GB"/>
          <w14:ligatures w14:val="none"/>
        </w:rPr>
        <w:t>Cleaning and care:</w:t>
      </w:r>
    </w:p>
    <w:p w14:paraId="62AC9E39" w14:textId="77777777" w:rsidR="00856718" w:rsidRPr="00856718" w:rsidRDefault="00856718" w:rsidP="00856718">
      <w:pPr>
        <w:numPr>
          <w:ilvl w:val="0"/>
          <w:numId w:val="3"/>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 xml:space="preserve">No separate cleaning fee is charged; however, guests must leave the premises in reasonable order </w:t>
      </w:r>
    </w:p>
    <w:p w14:paraId="239D0243" w14:textId="3B4E5C73" w:rsidR="00856718" w:rsidRPr="003348F0" w:rsidRDefault="00856718" w:rsidP="00847174">
      <w:pPr>
        <w:numPr>
          <w:ilvl w:val="0"/>
          <w:numId w:val="3"/>
        </w:numPr>
        <w:spacing w:before="100" w:beforeAutospacing="1" w:after="100" w:afterAutospacing="1" w:line="240" w:lineRule="auto"/>
        <w:rPr>
          <w:rFonts w:eastAsia="Times New Roman" w:cs="Times New Roman"/>
          <w:b/>
          <w:bCs/>
          <w:kern w:val="0"/>
          <w:lang w:eastAsia="en-GB"/>
          <w14:ligatures w14:val="none"/>
        </w:rPr>
      </w:pPr>
      <w:r w:rsidRPr="00856718">
        <w:rPr>
          <w:rFonts w:eastAsia="Times New Roman" w:cs="Times New Roman"/>
          <w:b/>
          <w:bCs/>
          <w:kern w:val="0"/>
          <w:lang w:eastAsia="en-GB"/>
          <w14:ligatures w14:val="none"/>
        </w:rPr>
        <w:t>Any damage, breakages, misuse of facilities, or excessive cleaning requirements may result in additional charges</w:t>
      </w:r>
    </w:p>
    <w:p w14:paraId="4FC5DACC" w14:textId="24D89370" w:rsidR="00847174" w:rsidRPr="004100CB" w:rsidRDefault="00847174" w:rsidP="00847174">
      <w:pPr>
        <w:rPr>
          <w:b/>
          <w:bCs/>
        </w:rPr>
      </w:pPr>
      <w:r w:rsidRPr="004100CB">
        <w:rPr>
          <w:b/>
          <w:bCs/>
        </w:rPr>
        <w:t>10. Damage and Liability</w:t>
      </w:r>
    </w:p>
    <w:p w14:paraId="4925A24A" w14:textId="1A7A53A6" w:rsidR="00847174" w:rsidRDefault="00847174" w:rsidP="00847174">
      <w:r>
        <w:t>The event organiser is responsible for any damage caused to the property or its contents during their stay. Elam reserves the right to charge for repair or replacement costs where necessary.</w:t>
      </w:r>
    </w:p>
    <w:p w14:paraId="78A5C0D4" w14:textId="77777777" w:rsidR="00BA5961" w:rsidRDefault="00BA5961" w:rsidP="00847174"/>
    <w:p w14:paraId="47E77EA2" w14:textId="2A470CF8" w:rsidR="00305D4F" w:rsidRDefault="00BA5961" w:rsidP="00305D4F">
      <w:r w:rsidRPr="00F37061">
        <w:rPr>
          <w:b/>
          <w:bCs/>
        </w:rPr>
        <w:t>11.</w:t>
      </w:r>
      <w:r>
        <w:t xml:space="preserve"> </w:t>
      </w:r>
      <w:r w:rsidR="00305D4F" w:rsidRPr="00F37061">
        <w:rPr>
          <w:b/>
          <w:bCs/>
        </w:rPr>
        <w:t>Insurance and Liability</w:t>
      </w:r>
    </w:p>
    <w:p w14:paraId="78CE79F4" w14:textId="77777777" w:rsidR="00F37061" w:rsidRDefault="00305D4F" w:rsidP="00305D4F">
      <w:r>
        <w:t>Guest organisations are strongly advised to hold appropriate public liability and event insurance. Elam does not accept responsibility for:</w:t>
      </w:r>
    </w:p>
    <w:p w14:paraId="6008FAA2" w14:textId="77777777" w:rsidR="00F37061" w:rsidRDefault="00305D4F" w:rsidP="00F37061">
      <w:pPr>
        <w:pStyle w:val="ListParagraph"/>
        <w:numPr>
          <w:ilvl w:val="0"/>
          <w:numId w:val="1"/>
        </w:numPr>
      </w:pPr>
      <w:r>
        <w:t xml:space="preserve">Loss or damage to personal property </w:t>
      </w:r>
    </w:p>
    <w:p w14:paraId="0CAB2C4E" w14:textId="77777777" w:rsidR="00F37061" w:rsidRDefault="00305D4F" w:rsidP="00F37061">
      <w:pPr>
        <w:pStyle w:val="ListParagraph"/>
        <w:numPr>
          <w:ilvl w:val="0"/>
          <w:numId w:val="1"/>
        </w:numPr>
      </w:pPr>
      <w:r>
        <w:t xml:space="preserve">Injury caused by misuse of facilities or failure to follow safety instructions. </w:t>
      </w:r>
    </w:p>
    <w:p w14:paraId="7602238A" w14:textId="538411C9" w:rsidR="00BA5961" w:rsidRDefault="00305D4F" w:rsidP="00305D4F">
      <w:r>
        <w:t>Guest organisations are liable for any damage caused by their participants, staff, or contractors.</w:t>
      </w:r>
    </w:p>
    <w:p w14:paraId="16CBDF6F" w14:textId="75DEA644" w:rsidR="00847174" w:rsidRPr="004100CB" w:rsidRDefault="00847174" w:rsidP="00847174">
      <w:pPr>
        <w:rPr>
          <w:b/>
          <w:bCs/>
        </w:rPr>
      </w:pPr>
      <w:r w:rsidRPr="004100CB">
        <w:rPr>
          <w:b/>
          <w:bCs/>
        </w:rPr>
        <w:t>1</w:t>
      </w:r>
      <w:r w:rsidR="00F37061">
        <w:rPr>
          <w:b/>
          <w:bCs/>
        </w:rPr>
        <w:t>2</w:t>
      </w:r>
      <w:r w:rsidRPr="004100CB">
        <w:rPr>
          <w:b/>
          <w:bCs/>
        </w:rPr>
        <w:t>. Health</w:t>
      </w:r>
      <w:r w:rsidR="00CF0BD8">
        <w:rPr>
          <w:b/>
          <w:bCs/>
        </w:rPr>
        <w:t xml:space="preserve"> &amp; </w:t>
      </w:r>
      <w:r w:rsidRPr="004100CB">
        <w:rPr>
          <w:b/>
          <w:bCs/>
        </w:rPr>
        <w:t>Safety</w:t>
      </w:r>
      <w:r w:rsidR="00CF0BD8">
        <w:rPr>
          <w:b/>
          <w:bCs/>
        </w:rPr>
        <w:t xml:space="preserve"> and Security</w:t>
      </w:r>
    </w:p>
    <w:p w14:paraId="3CE29649" w14:textId="0A6CC3CD" w:rsidR="00CF0BD8" w:rsidRDefault="00CF0BD8" w:rsidP="00847174">
      <w:r w:rsidRPr="00CF0BD8">
        <w:t>Guests must follow all safety instructions provided by Centre staff, including fire safety rules and emergency exit routes. The organisation booking the Centre is responsible for the conduct and safety of its participants at all times. Children or vulnerable individuals must be supervised, and the guest’s safeguarding policies and procedures must be adhered to. The security of personal belongings is the responsibility of guests; Elam is not liable for loss or theft.</w:t>
      </w:r>
      <w:r w:rsidR="00203C25">
        <w:t xml:space="preserve"> </w:t>
      </w:r>
      <w:r w:rsidR="00203C25" w:rsidRPr="00203C25">
        <w:t>Emergency contact details and evacuation procedures will be provided on arrival. Guests should ensure all participants are aware of them.</w:t>
      </w:r>
    </w:p>
    <w:p w14:paraId="4704E380" w14:textId="15E69294" w:rsidR="0053532E" w:rsidRPr="0053532E" w:rsidRDefault="0053532E" w:rsidP="0053532E">
      <w:pPr>
        <w:rPr>
          <w:b/>
          <w:bCs/>
        </w:rPr>
      </w:pPr>
      <w:r w:rsidRPr="0053532E">
        <w:rPr>
          <w:b/>
          <w:bCs/>
        </w:rPr>
        <w:t>13. Compliance with Local Laws and Regulations</w:t>
      </w:r>
    </w:p>
    <w:p w14:paraId="75597BBF" w14:textId="5F859A44" w:rsidR="0053532E" w:rsidRDefault="0053532E" w:rsidP="0053532E">
      <w:r>
        <w:t>All guests must comply with applicable Turkish laws, local regulations, and building rules. External speakers or high-profile guests must be notified to Elam in advance for security assessment.</w:t>
      </w:r>
    </w:p>
    <w:p w14:paraId="2CA2E31C" w14:textId="65C50F0F" w:rsidR="00D238E5" w:rsidRPr="00D238E5" w:rsidRDefault="0053532E" w:rsidP="00D238E5">
      <w:pPr>
        <w:rPr>
          <w:b/>
          <w:bCs/>
        </w:rPr>
      </w:pPr>
      <w:r w:rsidRPr="0053532E">
        <w:rPr>
          <w:b/>
          <w:bCs/>
        </w:rPr>
        <w:t xml:space="preserve">14. </w:t>
      </w:r>
      <w:r w:rsidR="00D238E5" w:rsidRPr="00D238E5">
        <w:rPr>
          <w:b/>
          <w:bCs/>
        </w:rPr>
        <w:t>Privacy, Data Protection, and Media</w:t>
      </w:r>
    </w:p>
    <w:p w14:paraId="1BD78492" w14:textId="11BA9B13" w:rsidR="0053532E" w:rsidRPr="00D238E5" w:rsidRDefault="00D238E5" w:rsidP="00D238E5">
      <w:r w:rsidRPr="00D238E5">
        <w:t>Guest information provided for booking is used solely for operational and administrative purposes and handled in accordance with applicable data protection regulations. Photography or filming in the Centre should respect the privacy of other guests and staff. Guests must not share the location of the Centre or show photos of or from inside the Centre on social media or in any published materials.</w:t>
      </w:r>
    </w:p>
    <w:p w14:paraId="0E97D304" w14:textId="36FFF59C" w:rsidR="0053532E" w:rsidRPr="0053532E" w:rsidRDefault="0053532E" w:rsidP="0053532E">
      <w:pPr>
        <w:rPr>
          <w:b/>
          <w:bCs/>
        </w:rPr>
      </w:pPr>
      <w:r w:rsidRPr="0053532E">
        <w:rPr>
          <w:b/>
          <w:bCs/>
        </w:rPr>
        <w:t>15. Force Majeure</w:t>
      </w:r>
    </w:p>
    <w:p w14:paraId="527646D3" w14:textId="289BCF3A" w:rsidR="00C731F5" w:rsidRDefault="0053532E" w:rsidP="00847174">
      <w:r>
        <w:t>Elam shall not be liable for failure to provide facilities or services due to events beyond its reasonable control, including but not limited to natural disasters, labour disputes, epidemics, or changes in governmental regulations.</w:t>
      </w:r>
    </w:p>
    <w:p w14:paraId="69E3AC8B" w14:textId="7AADFE9B" w:rsidR="00847174" w:rsidRPr="004100CB" w:rsidRDefault="00847174" w:rsidP="00847174">
      <w:pPr>
        <w:rPr>
          <w:b/>
          <w:bCs/>
        </w:rPr>
      </w:pPr>
      <w:r w:rsidRPr="004100CB">
        <w:rPr>
          <w:b/>
          <w:bCs/>
        </w:rPr>
        <w:t>1</w:t>
      </w:r>
      <w:r w:rsidR="0053532E">
        <w:rPr>
          <w:b/>
          <w:bCs/>
        </w:rPr>
        <w:t>6</w:t>
      </w:r>
      <w:r w:rsidRPr="004100CB">
        <w:rPr>
          <w:b/>
          <w:bCs/>
        </w:rPr>
        <w:t>. Arrival and Departure</w:t>
      </w:r>
    </w:p>
    <w:p w14:paraId="05692597" w14:textId="331922C9" w:rsidR="00847174" w:rsidRDefault="00847174" w:rsidP="00847174">
      <w:r>
        <w:t>Arrival and departure times must be agreed in advance. Early arrivals or late departures are subject to availability.</w:t>
      </w:r>
    </w:p>
    <w:p w14:paraId="3103B428" w14:textId="5E0383CD" w:rsidR="00847174" w:rsidRDefault="00847174" w:rsidP="00847174">
      <w:r w:rsidRPr="00F37061">
        <w:rPr>
          <w:b/>
          <w:bCs/>
        </w:rPr>
        <w:t>1</w:t>
      </w:r>
      <w:r w:rsidR="00E62574">
        <w:rPr>
          <w:b/>
          <w:bCs/>
        </w:rPr>
        <w:t>7</w:t>
      </w:r>
      <w:r w:rsidRPr="00F37061">
        <w:rPr>
          <w:b/>
          <w:bCs/>
        </w:rPr>
        <w:t>.</w:t>
      </w:r>
      <w:r>
        <w:t xml:space="preserve"> </w:t>
      </w:r>
      <w:r w:rsidRPr="00F37061">
        <w:rPr>
          <w:b/>
          <w:bCs/>
        </w:rPr>
        <w:t>Acceptance of Terms</w:t>
      </w:r>
    </w:p>
    <w:p w14:paraId="76233D6B" w14:textId="77777777" w:rsidR="00847174" w:rsidRPr="004100CB" w:rsidRDefault="00847174" w:rsidP="00847174">
      <w:pPr>
        <w:rPr>
          <w:b/>
          <w:bCs/>
        </w:rPr>
      </w:pPr>
      <w:r w:rsidRPr="004100CB">
        <w:rPr>
          <w:b/>
          <w:bCs/>
        </w:rPr>
        <w:t>By submitting a booking request and/or making payment, the organiser confirms that they have read, understood, and agree to these Terms and Conditions.</w:t>
      </w:r>
    </w:p>
    <w:p w14:paraId="307F6004" w14:textId="77777777" w:rsidR="00E54ED1" w:rsidRDefault="00E54ED1" w:rsidP="00847174"/>
    <w:p w14:paraId="7411FAD1" w14:textId="08CBE0F0" w:rsidR="00E00527" w:rsidRDefault="00847174" w:rsidP="00847174">
      <w:r>
        <w:t>For any questions regarding these Terms and Conditions, please contact the Elam Istanbul booking team.</w:t>
      </w:r>
    </w:p>
    <w:sectPr w:rsidR="00E00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02842"/>
    <w:multiLevelType w:val="multilevel"/>
    <w:tmpl w:val="4CEC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E57D1"/>
    <w:multiLevelType w:val="hybridMultilevel"/>
    <w:tmpl w:val="62FA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B447E"/>
    <w:multiLevelType w:val="multilevel"/>
    <w:tmpl w:val="900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120051">
    <w:abstractNumId w:val="1"/>
  </w:num>
  <w:num w:numId="2" w16cid:durableId="1648822570">
    <w:abstractNumId w:val="2"/>
  </w:num>
  <w:num w:numId="3" w16cid:durableId="73092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53"/>
    <w:rsid w:val="000F2561"/>
    <w:rsid w:val="00106D2D"/>
    <w:rsid w:val="00172A83"/>
    <w:rsid w:val="001B1AC8"/>
    <w:rsid w:val="00203C25"/>
    <w:rsid w:val="002244F5"/>
    <w:rsid w:val="002A09A9"/>
    <w:rsid w:val="00305D4F"/>
    <w:rsid w:val="0031519A"/>
    <w:rsid w:val="003348F0"/>
    <w:rsid w:val="00380C6C"/>
    <w:rsid w:val="004100CB"/>
    <w:rsid w:val="004A711C"/>
    <w:rsid w:val="005273C0"/>
    <w:rsid w:val="0053532E"/>
    <w:rsid w:val="00553870"/>
    <w:rsid w:val="006333E1"/>
    <w:rsid w:val="00644D93"/>
    <w:rsid w:val="006E2965"/>
    <w:rsid w:val="00774CC5"/>
    <w:rsid w:val="007818A5"/>
    <w:rsid w:val="007A6877"/>
    <w:rsid w:val="007E715F"/>
    <w:rsid w:val="00822C22"/>
    <w:rsid w:val="00847174"/>
    <w:rsid w:val="00856718"/>
    <w:rsid w:val="008710BE"/>
    <w:rsid w:val="00960C48"/>
    <w:rsid w:val="009962BC"/>
    <w:rsid w:val="00A06199"/>
    <w:rsid w:val="00AC0894"/>
    <w:rsid w:val="00B22AEF"/>
    <w:rsid w:val="00B239CC"/>
    <w:rsid w:val="00BA5961"/>
    <w:rsid w:val="00C731F5"/>
    <w:rsid w:val="00CD2CF1"/>
    <w:rsid w:val="00CF0BD8"/>
    <w:rsid w:val="00CF7A53"/>
    <w:rsid w:val="00D238E5"/>
    <w:rsid w:val="00E00527"/>
    <w:rsid w:val="00E54ED1"/>
    <w:rsid w:val="00E62574"/>
    <w:rsid w:val="00EE7BB9"/>
    <w:rsid w:val="00F11E57"/>
    <w:rsid w:val="00F37061"/>
    <w:rsid w:val="4F22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CC4"/>
  <w15:chartTrackingRefBased/>
  <w15:docId w15:val="{185601AD-E819-44C5-A6E7-4C407A25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A53"/>
    <w:rPr>
      <w:rFonts w:eastAsiaTheme="majorEastAsia" w:cstheme="majorBidi"/>
      <w:color w:val="272727" w:themeColor="text1" w:themeTint="D8"/>
    </w:rPr>
  </w:style>
  <w:style w:type="paragraph" w:styleId="Title">
    <w:name w:val="Title"/>
    <w:basedOn w:val="Normal"/>
    <w:next w:val="Normal"/>
    <w:link w:val="TitleChar"/>
    <w:uiPriority w:val="10"/>
    <w:qFormat/>
    <w:rsid w:val="00CF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A53"/>
    <w:pPr>
      <w:spacing w:before="160"/>
      <w:jc w:val="center"/>
    </w:pPr>
    <w:rPr>
      <w:i/>
      <w:iCs/>
      <w:color w:val="404040" w:themeColor="text1" w:themeTint="BF"/>
    </w:rPr>
  </w:style>
  <w:style w:type="character" w:customStyle="1" w:styleId="QuoteChar">
    <w:name w:val="Quote Char"/>
    <w:basedOn w:val="DefaultParagraphFont"/>
    <w:link w:val="Quote"/>
    <w:uiPriority w:val="29"/>
    <w:rsid w:val="00CF7A53"/>
    <w:rPr>
      <w:i/>
      <w:iCs/>
      <w:color w:val="404040" w:themeColor="text1" w:themeTint="BF"/>
    </w:rPr>
  </w:style>
  <w:style w:type="paragraph" w:styleId="ListParagraph">
    <w:name w:val="List Paragraph"/>
    <w:basedOn w:val="Normal"/>
    <w:uiPriority w:val="34"/>
    <w:qFormat/>
    <w:rsid w:val="00CF7A53"/>
    <w:pPr>
      <w:ind w:left="720"/>
      <w:contextualSpacing/>
    </w:pPr>
  </w:style>
  <w:style w:type="character" w:styleId="IntenseEmphasis">
    <w:name w:val="Intense Emphasis"/>
    <w:basedOn w:val="DefaultParagraphFont"/>
    <w:uiPriority w:val="21"/>
    <w:qFormat/>
    <w:rsid w:val="00CF7A53"/>
    <w:rPr>
      <w:i/>
      <w:iCs/>
      <w:color w:val="0F4761" w:themeColor="accent1" w:themeShade="BF"/>
    </w:rPr>
  </w:style>
  <w:style w:type="paragraph" w:styleId="IntenseQuote">
    <w:name w:val="Intense Quote"/>
    <w:basedOn w:val="Normal"/>
    <w:next w:val="Normal"/>
    <w:link w:val="IntenseQuoteChar"/>
    <w:uiPriority w:val="30"/>
    <w:qFormat/>
    <w:rsid w:val="00CF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A53"/>
    <w:rPr>
      <w:i/>
      <w:iCs/>
      <w:color w:val="0F4761" w:themeColor="accent1" w:themeShade="BF"/>
    </w:rPr>
  </w:style>
  <w:style w:type="character" w:styleId="IntenseReference">
    <w:name w:val="Intense Reference"/>
    <w:basedOn w:val="DefaultParagraphFont"/>
    <w:uiPriority w:val="32"/>
    <w:qFormat/>
    <w:rsid w:val="00CF7A53"/>
    <w:rPr>
      <w:b/>
      <w:bCs/>
      <w:smallCaps/>
      <w:color w:val="0F4761" w:themeColor="accent1" w:themeShade="BF"/>
      <w:spacing w:val="5"/>
    </w:rPr>
  </w:style>
  <w:style w:type="table" w:customStyle="1" w:styleId="TableGrid1">
    <w:name w:val="Table Grid1"/>
    <w:basedOn w:val="TableNormal"/>
    <w:next w:val="TableGrid"/>
    <w:uiPriority w:val="39"/>
    <w:rsid w:val="007818A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5160</Characters>
  <Application>Microsoft Office Word</Application>
  <DocSecurity>4</DocSecurity>
  <Lines>114</Lines>
  <Paragraphs>60</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Hasenfratz</dc:creator>
  <cp:keywords/>
  <dc:description/>
  <cp:lastModifiedBy>Raffaele Hasenfratz</cp:lastModifiedBy>
  <cp:revision>40</cp:revision>
  <dcterms:created xsi:type="dcterms:W3CDTF">2026-04-02T03:31:00Z</dcterms:created>
  <dcterms:modified xsi:type="dcterms:W3CDTF">2026-04-01T15:46:00Z</dcterms:modified>
</cp:coreProperties>
</file>